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1D567E" w14:paraId="1BFAE59D" w14:textId="1DAEC675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71A21867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1E45E5">
              <w:rPr>
                <w:sz w:val="20"/>
                <w:szCs w:val="20"/>
              </w:rPr>
              <w:t>: CM-09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1E45E5" w:rsidTr="422A4C1A" w14:paraId="621F6F9E" w14:textId="77777777">
        <w:tc>
          <w:tcPr>
            <w:tcW w:w="2425" w:type="dxa"/>
          </w:tcPr>
          <w:p w:rsidRPr="007629C9" w:rsidR="001E45E5" w:rsidP="001E45E5" w:rsidRDefault="001E45E5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1E45E5" w:rsidP="001E45E5" w:rsidRDefault="001E45E5" w14:paraId="75E7B36C" w14:textId="77777777">
            <w:pPr>
              <w:rPr>
                <w:sz w:val="20"/>
                <w:szCs w:val="20"/>
              </w:rPr>
            </w:pPr>
          </w:p>
          <w:p w:rsidRPr="001E45E5" w:rsidR="001E45E5" w:rsidP="001E45E5" w:rsidRDefault="001E45E5" w14:paraId="5F7714D7" w14:textId="77777777">
            <w:pPr>
              <w:rPr>
                <w:sz w:val="20"/>
                <w:szCs w:val="20"/>
              </w:rPr>
            </w:pPr>
            <w:r w:rsidRPr="001E45E5">
              <w:rPr>
                <w:sz w:val="20"/>
                <w:szCs w:val="20"/>
              </w:rPr>
              <w:t>Develop, document, and implement a configuration management plan for the system that:</w:t>
            </w:r>
          </w:p>
          <w:p w:rsidRPr="00F87D95" w:rsidR="001E45E5" w:rsidP="001E45E5" w:rsidRDefault="001E45E5" w14:paraId="08A6683B" w14:textId="766767ED">
            <w:pPr>
              <w:rPr>
                <w:sz w:val="20"/>
                <w:szCs w:val="20"/>
              </w:rPr>
            </w:pPr>
            <w:r w:rsidRPr="001E45E5">
              <w:rPr>
                <w:sz w:val="20"/>
                <w:szCs w:val="20"/>
              </w:rPr>
              <w:t xml:space="preserve"> a. Addresses roles, responsibilities, and configuration management processes and procedures;</w:t>
            </w:r>
          </w:p>
        </w:tc>
        <w:tc>
          <w:tcPr>
            <w:tcW w:w="6925" w:type="dxa"/>
          </w:tcPr>
          <w:p w:rsidR="001E45E5" w:rsidP="001E45E5" w:rsidRDefault="001E45E5" w14:paraId="707CD038" w14:textId="77777777"/>
          <w:p w:rsidR="001E45E5" w:rsidP="001E45E5" w:rsidRDefault="001E45E5" w14:paraId="72F9542E" w14:textId="7F4CDD64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1E45E5" w:rsidTr="422A4C1A" w14:paraId="2B78678B" w14:textId="77777777">
        <w:tc>
          <w:tcPr>
            <w:tcW w:w="2425" w:type="dxa"/>
          </w:tcPr>
          <w:p w:rsidRPr="007629C9" w:rsidR="001E45E5" w:rsidP="001E45E5" w:rsidRDefault="001E45E5" w14:paraId="72924754" w14:textId="4FA4C4A1">
            <w:pPr>
              <w:rPr>
                <w:sz w:val="20"/>
                <w:szCs w:val="20"/>
              </w:rPr>
            </w:pPr>
            <w:r w:rsidRPr="001E45E5">
              <w:rPr>
                <w:sz w:val="20"/>
                <w:szCs w:val="20"/>
              </w:rPr>
              <w:t>b. Establishes a process for identifying configuration items throughout the system development life cycle and for managing the configuration of the configuration items;</w:t>
            </w:r>
          </w:p>
        </w:tc>
        <w:tc>
          <w:tcPr>
            <w:tcW w:w="6925" w:type="dxa"/>
          </w:tcPr>
          <w:p w:rsidR="001E45E5" w:rsidP="001E45E5" w:rsidRDefault="001E45E5" w14:paraId="70C75E45" w14:textId="77777777"/>
        </w:tc>
      </w:tr>
      <w:tr w:rsidR="001E45E5" w:rsidTr="422A4C1A" w14:paraId="18DA6F4E" w14:textId="77777777">
        <w:tc>
          <w:tcPr>
            <w:tcW w:w="2425" w:type="dxa"/>
          </w:tcPr>
          <w:p w:rsidRPr="001E45E5" w:rsidR="001E45E5" w:rsidP="001E45E5" w:rsidRDefault="001E45E5" w14:paraId="4495A689" w14:textId="106CA9A6">
            <w:pPr>
              <w:rPr>
                <w:sz w:val="20"/>
                <w:szCs w:val="20"/>
              </w:rPr>
            </w:pPr>
            <w:r w:rsidRPr="001E45E5">
              <w:rPr>
                <w:sz w:val="20"/>
                <w:szCs w:val="20"/>
              </w:rPr>
              <w:t>c. Defines the configuration items for the system and places the configuration items under configuration management;</w:t>
            </w:r>
          </w:p>
        </w:tc>
        <w:tc>
          <w:tcPr>
            <w:tcW w:w="6925" w:type="dxa"/>
          </w:tcPr>
          <w:p w:rsidR="001E45E5" w:rsidP="001E45E5" w:rsidRDefault="001E45E5" w14:paraId="3C22A9D7" w14:textId="77777777"/>
        </w:tc>
      </w:tr>
      <w:tr w:rsidR="001E45E5" w:rsidTr="422A4C1A" w14:paraId="56EA333D" w14:textId="77777777">
        <w:tc>
          <w:tcPr>
            <w:tcW w:w="2425" w:type="dxa"/>
          </w:tcPr>
          <w:p w:rsidRPr="001E45E5" w:rsidR="001E45E5" w:rsidP="001E45E5" w:rsidRDefault="001E45E5" w14:paraId="3342B620" w14:textId="466EF40A">
            <w:pPr>
              <w:rPr>
                <w:sz w:val="20"/>
                <w:szCs w:val="20"/>
              </w:rPr>
            </w:pPr>
            <w:r w:rsidRPr="001E45E5">
              <w:rPr>
                <w:sz w:val="20"/>
                <w:szCs w:val="20"/>
              </w:rPr>
              <w:t>d. Is reviewed and approved by [Assignment: organization-defined personnel or roles]; and</w:t>
            </w:r>
          </w:p>
        </w:tc>
        <w:tc>
          <w:tcPr>
            <w:tcW w:w="6925" w:type="dxa"/>
          </w:tcPr>
          <w:p w:rsidR="001E45E5" w:rsidP="001E45E5" w:rsidRDefault="001E45E5" w14:paraId="2151B71A" w14:textId="77777777"/>
        </w:tc>
      </w:tr>
      <w:tr w:rsidR="001E45E5" w:rsidTr="422A4C1A" w14:paraId="2FD2BD9E" w14:textId="77777777">
        <w:tc>
          <w:tcPr>
            <w:tcW w:w="2425" w:type="dxa"/>
          </w:tcPr>
          <w:p w:rsidRPr="001E45E5" w:rsidR="001E45E5" w:rsidP="001E45E5" w:rsidRDefault="001E45E5" w14:paraId="2BEF34F3" w14:textId="34D751CD">
            <w:pPr>
              <w:rPr>
                <w:sz w:val="20"/>
                <w:szCs w:val="20"/>
              </w:rPr>
            </w:pPr>
            <w:r w:rsidRPr="001E45E5">
              <w:rPr>
                <w:sz w:val="20"/>
                <w:szCs w:val="20"/>
              </w:rPr>
              <w:t>e. Protects the configuration management plan from unauthorized disclosure and modification.</w:t>
            </w:r>
          </w:p>
        </w:tc>
        <w:tc>
          <w:tcPr>
            <w:tcW w:w="6925" w:type="dxa"/>
          </w:tcPr>
          <w:p w:rsidR="001E45E5" w:rsidP="001E45E5" w:rsidRDefault="001E45E5" w14:paraId="12CF2532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68A3" w:rsidP="0085581F" w:rsidRDefault="001268A3" w14:paraId="2D399501" w14:textId="77777777">
      <w:pPr>
        <w:spacing w:after="0" w:line="240" w:lineRule="auto"/>
      </w:pPr>
      <w:r>
        <w:separator/>
      </w:r>
    </w:p>
  </w:endnote>
  <w:endnote w:type="continuationSeparator" w:id="0">
    <w:p w:rsidR="001268A3" w:rsidP="0085581F" w:rsidRDefault="001268A3" w14:paraId="0C1324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68A3" w:rsidP="0085581F" w:rsidRDefault="001268A3" w14:paraId="063DC8CA" w14:textId="77777777">
      <w:pPr>
        <w:spacing w:after="0" w:line="240" w:lineRule="auto"/>
      </w:pPr>
      <w:r>
        <w:separator/>
      </w:r>
    </w:p>
  </w:footnote>
  <w:footnote w:type="continuationSeparator" w:id="0">
    <w:p w:rsidR="001268A3" w:rsidP="0085581F" w:rsidRDefault="001268A3" w14:paraId="17D1F1E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1D87704A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40AD4C1" w:rsidR="440AD4C1">
      <w:rPr>
        <w:rFonts w:ascii="Bahnschrift" w:hAnsi="Bahnschrift"/>
        <w:color w:val="auto"/>
        <w:sz w:val="40"/>
        <w:szCs w:val="40"/>
      </w:rPr>
      <w:t xml:space="preserve"> </w:t>
    </w:r>
    <w:r w:rsidRPr="440AD4C1" w:rsidR="440AD4C1">
      <w:rPr>
        <w:rFonts w:ascii="Bahnschrift" w:hAnsi="Bahnschrift"/>
        <w:color w:val="auto"/>
        <w:sz w:val="40"/>
        <w:szCs w:val="40"/>
      </w:rPr>
      <w:t>GovRAMP</w:t>
    </w:r>
    <w:r w:rsidRPr="440AD4C1" w:rsidR="440AD4C1">
      <w:rPr>
        <w:rFonts w:ascii="Bahnschrift" w:hAnsi="Bahnschrift"/>
        <w:color w:val="auto"/>
        <w:sz w:val="40"/>
        <w:szCs w:val="40"/>
      </w:rPr>
      <w:t xml:space="preserve"> </w:t>
    </w:r>
    <w:r w:rsidRPr="440AD4C1" w:rsidR="440AD4C1">
      <w:rPr>
        <w:rFonts w:ascii="Bahnschrift" w:hAnsi="Bahnschrift"/>
        <w:color w:val="auto"/>
        <w:sz w:val="40"/>
        <w:szCs w:val="40"/>
      </w:rPr>
      <w:t xml:space="preserve">Core </w:t>
    </w:r>
    <w:r w:rsidRPr="440AD4C1" w:rsidR="440AD4C1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268A3"/>
    <w:rsid w:val="001D54AB"/>
    <w:rsid w:val="001D567E"/>
    <w:rsid w:val="001E45E5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00FE666F"/>
    <w:rsid w:val="2C0310F3"/>
    <w:rsid w:val="3077CAF9"/>
    <w:rsid w:val="422A4C1A"/>
    <w:rsid w:val="440AD4C1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FE3A3-1316-4B9F-8313-DAB5A617ACA9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B3725E71-A6E2-4E52-942B-50B5278E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5E8DB-6DC7-4E5E-87B0-7ECBFA838C1A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